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5716" w:rsidRDefault="00685716">
      <w:pPr>
        <w:spacing w:line="276" w:lineRule="auto"/>
        <w:ind w:left="0"/>
        <w:jc w:val="left"/>
        <w:rPr>
          <w:rFonts w:ascii="Arial" w:eastAsia="Arial" w:hAnsi="Arial" w:cs="Arial"/>
        </w:rPr>
      </w:pPr>
    </w:p>
    <w:tbl>
      <w:tblPr>
        <w:tblStyle w:val="a"/>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009"/>
        <w:gridCol w:w="5714"/>
      </w:tblGrid>
      <w:tr w:rsidR="00685716">
        <w:trPr>
          <w:trHeight w:val="560"/>
        </w:trPr>
        <w:tc>
          <w:tcPr>
            <w:tcW w:w="10574" w:type="dxa"/>
            <w:gridSpan w:val="3"/>
            <w:shd w:val="clear" w:color="auto" w:fill="C27BA0"/>
          </w:tcPr>
          <w:p w:rsidR="00685716" w:rsidRDefault="004A22AF">
            <w:pPr>
              <w:ind w:left="0"/>
              <w:rPr>
                <w:color w:val="FFFFFF"/>
              </w:rPr>
            </w:pPr>
            <w:r>
              <w:rPr>
                <w:b/>
                <w:color w:val="FFFFFF"/>
                <w:sz w:val="32"/>
                <w:szCs w:val="32"/>
              </w:rPr>
              <w:t>SESSION PROPOSAL C</w:t>
            </w:r>
            <w:r w:rsidR="00685B8E">
              <w:rPr>
                <w:b/>
                <w:color w:val="FFFFFF"/>
                <w:sz w:val="32"/>
                <w:szCs w:val="32"/>
              </w:rPr>
              <w:t xml:space="preserve">IfA 2018 – DEADLINE </w:t>
            </w:r>
            <w:r w:rsidR="00FC00B5">
              <w:rPr>
                <w:b/>
                <w:color w:val="FFFFFF"/>
                <w:sz w:val="32"/>
                <w:szCs w:val="32"/>
              </w:rPr>
              <w:t xml:space="preserve">14 </w:t>
            </w:r>
            <w:r w:rsidR="0014387C">
              <w:rPr>
                <w:b/>
                <w:color w:val="FFFFFF"/>
                <w:sz w:val="32"/>
                <w:szCs w:val="32"/>
              </w:rPr>
              <w:t>JULY 2017</w:t>
            </w:r>
          </w:p>
        </w:tc>
      </w:tr>
      <w:tr w:rsidR="00685716">
        <w:trPr>
          <w:trHeight w:val="500"/>
        </w:trPr>
        <w:tc>
          <w:tcPr>
            <w:tcW w:w="10574" w:type="dxa"/>
            <w:gridSpan w:val="3"/>
            <w:shd w:val="clear" w:color="auto" w:fill="EAD1DC"/>
          </w:tcPr>
          <w:p w:rsidR="00685716" w:rsidRDefault="004A22AF">
            <w:pPr>
              <w:ind w:left="0"/>
              <w:rPr>
                <w:i/>
              </w:rPr>
            </w:pPr>
            <w:r>
              <w:t>What type of session are you proposing?</w:t>
            </w:r>
          </w:p>
        </w:tc>
      </w:tr>
      <w:tr w:rsidR="00685716">
        <w:trPr>
          <w:trHeight w:val="500"/>
        </w:trPr>
        <w:tc>
          <w:tcPr>
            <w:tcW w:w="851" w:type="dxa"/>
          </w:tcPr>
          <w:p w:rsidR="00685716" w:rsidRDefault="00685716">
            <w:pPr>
              <w:ind w:left="0"/>
              <w:rPr>
                <w:i/>
              </w:rPr>
            </w:pPr>
          </w:p>
        </w:tc>
        <w:tc>
          <w:tcPr>
            <w:tcW w:w="9723" w:type="dxa"/>
            <w:gridSpan w:val="2"/>
          </w:tcPr>
          <w:p w:rsidR="00685716" w:rsidRDefault="004A22AF">
            <w:pPr>
              <w:spacing w:line="276" w:lineRule="auto"/>
              <w:ind w:left="0"/>
            </w:pPr>
            <w:r>
              <w:rPr>
                <w:b/>
                <w:i/>
              </w:rPr>
              <w:t xml:space="preserve">Discussion (Traditional) </w:t>
            </w:r>
            <w:r>
              <w:t xml:space="preserve">– traditional paper format, with room for Q&amp;A     </w:t>
            </w:r>
          </w:p>
          <w:p w:rsidR="00685716" w:rsidRDefault="00685716">
            <w:pPr>
              <w:spacing w:line="276" w:lineRule="auto"/>
              <w:ind w:left="0"/>
            </w:pPr>
          </w:p>
        </w:tc>
      </w:tr>
      <w:tr w:rsidR="00685716">
        <w:trPr>
          <w:trHeight w:val="560"/>
        </w:trPr>
        <w:tc>
          <w:tcPr>
            <w:tcW w:w="851" w:type="dxa"/>
          </w:tcPr>
          <w:p w:rsidR="00685716" w:rsidRDefault="00685716">
            <w:pPr>
              <w:ind w:left="0"/>
              <w:rPr>
                <w:i/>
              </w:rPr>
            </w:pPr>
          </w:p>
        </w:tc>
        <w:tc>
          <w:tcPr>
            <w:tcW w:w="9723" w:type="dxa"/>
            <w:gridSpan w:val="2"/>
          </w:tcPr>
          <w:p w:rsidR="00685716" w:rsidRDefault="004A22AF">
            <w:pPr>
              <w:spacing w:line="276" w:lineRule="auto"/>
              <w:ind w:left="0"/>
            </w:pPr>
            <w:r>
              <w:rPr>
                <w:b/>
                <w:i/>
              </w:rPr>
              <w:t>Discussion (Seminar)</w:t>
            </w:r>
            <w:r>
              <w:rPr>
                <w:b/>
              </w:rPr>
              <w:t xml:space="preserve"> </w:t>
            </w:r>
            <w:r>
              <w:t xml:space="preserve">– more open format, perhaps with one or two position papers, but with an emphasis on debate, discussion and outcomes </w:t>
            </w:r>
          </w:p>
          <w:p w:rsidR="00685716" w:rsidRDefault="00685716">
            <w:pPr>
              <w:spacing w:line="276" w:lineRule="auto"/>
              <w:ind w:left="0"/>
            </w:pPr>
          </w:p>
        </w:tc>
      </w:tr>
      <w:tr w:rsidR="00685716">
        <w:trPr>
          <w:trHeight w:val="640"/>
        </w:trPr>
        <w:tc>
          <w:tcPr>
            <w:tcW w:w="851" w:type="dxa"/>
          </w:tcPr>
          <w:p w:rsidR="00685716" w:rsidRDefault="00685716">
            <w:pPr>
              <w:ind w:left="0"/>
              <w:rPr>
                <w:i/>
              </w:rPr>
            </w:pPr>
          </w:p>
        </w:tc>
        <w:tc>
          <w:tcPr>
            <w:tcW w:w="9723" w:type="dxa"/>
            <w:gridSpan w:val="2"/>
          </w:tcPr>
          <w:p w:rsidR="00685716" w:rsidRDefault="004A22AF">
            <w:pPr>
              <w:spacing w:line="276" w:lineRule="auto"/>
              <w:ind w:left="0"/>
            </w:pPr>
            <w:r>
              <w:rPr>
                <w:b/>
                <w:i/>
              </w:rPr>
              <w:t>Workshop</w:t>
            </w:r>
            <w:r>
              <w:rPr>
                <w:i/>
              </w:rPr>
              <w:t xml:space="preserve"> - </w:t>
            </w:r>
            <w:r>
              <w:t>a CPD training workshop which specified learning outcomes linked to NOS</w:t>
            </w:r>
          </w:p>
          <w:p w:rsidR="00685716" w:rsidRDefault="00685716">
            <w:pPr>
              <w:spacing w:line="276" w:lineRule="auto"/>
              <w:ind w:left="0"/>
            </w:pPr>
          </w:p>
        </w:tc>
      </w:tr>
      <w:tr w:rsidR="00685716">
        <w:trPr>
          <w:trHeight w:val="640"/>
        </w:trPr>
        <w:tc>
          <w:tcPr>
            <w:tcW w:w="851" w:type="dxa"/>
          </w:tcPr>
          <w:p w:rsidR="00685716" w:rsidRDefault="00685716">
            <w:pPr>
              <w:ind w:left="0"/>
              <w:rPr>
                <w:i/>
              </w:rPr>
            </w:pPr>
          </w:p>
        </w:tc>
        <w:tc>
          <w:tcPr>
            <w:tcW w:w="9723" w:type="dxa"/>
            <w:gridSpan w:val="2"/>
          </w:tcPr>
          <w:p w:rsidR="00685716" w:rsidRDefault="004A22AF">
            <w:pPr>
              <w:spacing w:line="276" w:lineRule="auto"/>
              <w:ind w:left="0"/>
            </w:pPr>
            <w:r>
              <w:rPr>
                <w:b/>
                <w:i/>
              </w:rPr>
              <w:t>Fringe event</w:t>
            </w:r>
            <w:r>
              <w:t xml:space="preserve"> – an additional session which falls outside of the normal academic programme (</w:t>
            </w:r>
            <w:proofErr w:type="spellStart"/>
            <w:r>
              <w:t>eg</w:t>
            </w:r>
            <w:proofErr w:type="spellEnd"/>
            <w:r>
              <w:t xml:space="preserve"> a Group AGM, an exhibition, evening event or debate)</w:t>
            </w:r>
          </w:p>
          <w:p w:rsidR="00685716" w:rsidRDefault="00685716">
            <w:pPr>
              <w:spacing w:line="276" w:lineRule="auto"/>
              <w:ind w:left="0"/>
            </w:pPr>
          </w:p>
        </w:tc>
      </w:tr>
      <w:tr w:rsidR="00685716">
        <w:trPr>
          <w:trHeight w:val="560"/>
        </w:trPr>
        <w:tc>
          <w:tcPr>
            <w:tcW w:w="10574" w:type="dxa"/>
            <w:gridSpan w:val="3"/>
            <w:shd w:val="clear" w:color="auto" w:fill="EAD1DC"/>
          </w:tcPr>
          <w:p w:rsidR="00685716" w:rsidRDefault="004A22AF">
            <w:pPr>
              <w:ind w:left="0" w:right="382"/>
            </w:pPr>
            <w:r>
              <w:t>Session title [</w:t>
            </w:r>
            <w:proofErr w:type="spellStart"/>
            <w:r>
              <w:t>eg</w:t>
            </w:r>
            <w:proofErr w:type="spellEnd"/>
            <w:r>
              <w:t xml:space="preserve"> the short title]</w:t>
            </w:r>
          </w:p>
        </w:tc>
      </w:tr>
      <w:tr w:rsidR="00685716">
        <w:trPr>
          <w:trHeight w:val="560"/>
        </w:trPr>
        <w:tc>
          <w:tcPr>
            <w:tcW w:w="10574" w:type="dxa"/>
            <w:gridSpan w:val="3"/>
          </w:tcPr>
          <w:p w:rsidR="00685716" w:rsidRDefault="00685716">
            <w:pPr>
              <w:ind w:left="0" w:right="382"/>
            </w:pPr>
            <w:bookmarkStart w:id="0" w:name="_GoBack"/>
            <w:bookmarkEnd w:id="0"/>
          </w:p>
          <w:p w:rsidR="00685716" w:rsidRDefault="00685716">
            <w:pPr>
              <w:ind w:left="0" w:right="382"/>
            </w:pPr>
          </w:p>
          <w:p w:rsidR="00685716" w:rsidRDefault="00685716">
            <w:pPr>
              <w:ind w:left="0" w:right="382"/>
            </w:pPr>
          </w:p>
        </w:tc>
      </w:tr>
      <w:tr w:rsidR="00685716">
        <w:trPr>
          <w:trHeight w:val="560"/>
        </w:trPr>
        <w:tc>
          <w:tcPr>
            <w:tcW w:w="10574" w:type="dxa"/>
            <w:gridSpan w:val="3"/>
            <w:shd w:val="clear" w:color="auto" w:fill="EAD1DC"/>
          </w:tcPr>
          <w:p w:rsidR="00685716" w:rsidRDefault="004A22AF">
            <w:pPr>
              <w:ind w:left="0" w:right="382"/>
            </w:pPr>
            <w:r>
              <w:t xml:space="preserve">Two principal session organiser(s)/ contacts [name, organisation and email contact details] </w:t>
            </w:r>
          </w:p>
          <w:p w:rsidR="00685716" w:rsidRDefault="004A22AF">
            <w:pPr>
              <w:ind w:left="0" w:right="382"/>
              <w:rPr>
                <w:color w:val="00B050"/>
              </w:rPr>
            </w:pPr>
            <w:r>
              <w:rPr>
                <w:i/>
              </w:rPr>
              <w:t xml:space="preserve">NB Two principal organisers will receive one free day of attendance to the CIfA conference. Additional expenses or conference fees for other organisers can be requested through the conference bursary scheme, but are not guaranteed. </w:t>
            </w:r>
          </w:p>
        </w:tc>
      </w:tr>
      <w:tr w:rsidR="00685716">
        <w:trPr>
          <w:trHeight w:val="560"/>
        </w:trPr>
        <w:tc>
          <w:tcPr>
            <w:tcW w:w="4860" w:type="dxa"/>
            <w:gridSpan w:val="2"/>
          </w:tcPr>
          <w:p w:rsidR="00685716" w:rsidRDefault="00685716">
            <w:pPr>
              <w:ind w:left="0" w:right="382"/>
            </w:pPr>
          </w:p>
          <w:p w:rsidR="00685716" w:rsidRDefault="004A22AF">
            <w:pPr>
              <w:ind w:left="0" w:right="382"/>
            </w:pPr>
            <w:r>
              <w:rPr>
                <w:b/>
              </w:rPr>
              <w:t>Contact 1</w:t>
            </w:r>
          </w:p>
          <w:p w:rsidR="00685716" w:rsidRDefault="004A22AF">
            <w:pPr>
              <w:ind w:left="0" w:right="382"/>
            </w:pPr>
            <w:r>
              <w:t xml:space="preserve">Name: </w:t>
            </w:r>
          </w:p>
          <w:p w:rsidR="00685716" w:rsidRDefault="004A22AF">
            <w:pPr>
              <w:ind w:left="0" w:right="382"/>
            </w:pPr>
            <w:r>
              <w:t xml:space="preserve">Organisation: </w:t>
            </w:r>
          </w:p>
          <w:p w:rsidR="00685716" w:rsidRDefault="004A22AF">
            <w:pPr>
              <w:ind w:left="0" w:right="382"/>
            </w:pPr>
            <w:r>
              <w:t>Tel:</w:t>
            </w:r>
          </w:p>
          <w:p w:rsidR="00685716" w:rsidRDefault="004A22AF">
            <w:pPr>
              <w:ind w:left="0" w:right="382"/>
            </w:pPr>
            <w:r>
              <w:t xml:space="preserve">Email: </w:t>
            </w:r>
          </w:p>
          <w:p w:rsidR="00685716" w:rsidRDefault="00685716">
            <w:pPr>
              <w:ind w:left="0" w:right="382"/>
            </w:pPr>
          </w:p>
        </w:tc>
        <w:tc>
          <w:tcPr>
            <w:tcW w:w="5714" w:type="dxa"/>
          </w:tcPr>
          <w:p w:rsidR="00685716" w:rsidRDefault="00685716">
            <w:pPr>
              <w:ind w:left="0" w:right="382"/>
            </w:pPr>
          </w:p>
          <w:p w:rsidR="00685716" w:rsidRDefault="004A22AF">
            <w:pPr>
              <w:ind w:left="0" w:right="382"/>
            </w:pPr>
            <w:r>
              <w:rPr>
                <w:b/>
              </w:rPr>
              <w:t>Contact 2</w:t>
            </w:r>
          </w:p>
          <w:p w:rsidR="00685716" w:rsidRDefault="004A22AF">
            <w:pPr>
              <w:ind w:left="0" w:right="382"/>
            </w:pPr>
            <w:r>
              <w:t xml:space="preserve">Name: </w:t>
            </w:r>
          </w:p>
          <w:p w:rsidR="00685716" w:rsidRDefault="004A22AF">
            <w:pPr>
              <w:ind w:left="0" w:right="382"/>
            </w:pPr>
            <w:r>
              <w:t xml:space="preserve">Organisation: </w:t>
            </w:r>
          </w:p>
          <w:p w:rsidR="00685716" w:rsidRDefault="004A22AF">
            <w:pPr>
              <w:ind w:left="0" w:right="382"/>
            </w:pPr>
            <w:r>
              <w:t xml:space="preserve">Tel: </w:t>
            </w:r>
          </w:p>
          <w:p w:rsidR="00685716" w:rsidRDefault="004A22AF">
            <w:pPr>
              <w:ind w:left="0" w:right="382"/>
            </w:pPr>
            <w:r>
              <w:t xml:space="preserve">Email: </w:t>
            </w:r>
          </w:p>
          <w:p w:rsidR="00685716" w:rsidRDefault="00685716">
            <w:pPr>
              <w:ind w:left="0"/>
              <w:jc w:val="left"/>
            </w:pPr>
          </w:p>
        </w:tc>
      </w:tr>
      <w:tr w:rsidR="00685716">
        <w:trPr>
          <w:trHeight w:val="560"/>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EAD1DC"/>
          </w:tcPr>
          <w:p w:rsidR="00685716" w:rsidRDefault="004A22AF">
            <w:pPr>
              <w:ind w:left="0" w:right="524"/>
            </w:pPr>
            <w:r>
              <w:t>Other organisers / groups / stakeholders or identified session sponsors</w:t>
            </w:r>
          </w:p>
        </w:tc>
      </w:tr>
      <w:tr w:rsidR="00685716">
        <w:trPr>
          <w:trHeight w:val="560"/>
        </w:trPr>
        <w:tc>
          <w:tcPr>
            <w:tcW w:w="10574" w:type="dxa"/>
            <w:gridSpan w:val="3"/>
            <w:tcBorders>
              <w:top w:val="single" w:sz="4" w:space="0" w:color="000000"/>
              <w:left w:val="single" w:sz="4" w:space="0" w:color="000000"/>
              <w:bottom w:val="single" w:sz="4" w:space="0" w:color="000000"/>
              <w:right w:val="single" w:sz="4" w:space="0" w:color="000000"/>
            </w:tcBorders>
          </w:tcPr>
          <w:p w:rsidR="00685716" w:rsidRDefault="00685716">
            <w:pPr>
              <w:ind w:left="0" w:right="524"/>
            </w:pPr>
          </w:p>
          <w:p w:rsidR="00685716" w:rsidRDefault="00685716">
            <w:pPr>
              <w:ind w:left="0" w:right="524"/>
            </w:pPr>
          </w:p>
          <w:p w:rsidR="00685716" w:rsidRDefault="00685716">
            <w:pPr>
              <w:ind w:left="0" w:right="524"/>
            </w:pPr>
          </w:p>
        </w:tc>
      </w:tr>
      <w:tr w:rsidR="00685716">
        <w:trPr>
          <w:trHeight w:val="560"/>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EAD1DC"/>
          </w:tcPr>
          <w:p w:rsidR="00685716" w:rsidRDefault="004A22AF">
            <w:pPr>
              <w:ind w:left="0" w:right="524"/>
            </w:pPr>
            <w:r>
              <w:t xml:space="preserve">Session abstract [150 word summary] </w:t>
            </w:r>
          </w:p>
        </w:tc>
      </w:tr>
      <w:tr w:rsidR="00685716">
        <w:trPr>
          <w:trHeight w:val="560"/>
        </w:trPr>
        <w:tc>
          <w:tcPr>
            <w:tcW w:w="10574" w:type="dxa"/>
            <w:gridSpan w:val="3"/>
            <w:tcBorders>
              <w:top w:val="single" w:sz="4" w:space="0" w:color="000000"/>
              <w:left w:val="single" w:sz="4" w:space="0" w:color="000000"/>
              <w:bottom w:val="single" w:sz="4" w:space="0" w:color="000000"/>
              <w:right w:val="single" w:sz="4" w:space="0" w:color="000000"/>
            </w:tcBorders>
          </w:tcPr>
          <w:p w:rsidR="00685716" w:rsidRDefault="00685716">
            <w:pPr>
              <w:ind w:left="0" w:right="524"/>
            </w:pPr>
          </w:p>
          <w:p w:rsidR="00685716" w:rsidRDefault="00685716">
            <w:pPr>
              <w:ind w:left="0" w:right="524"/>
            </w:pPr>
          </w:p>
          <w:p w:rsidR="00685716" w:rsidRDefault="00685716">
            <w:pPr>
              <w:ind w:left="0" w:right="524"/>
            </w:pPr>
          </w:p>
          <w:p w:rsidR="0014387C" w:rsidRDefault="0014387C">
            <w:pPr>
              <w:ind w:left="0" w:right="524"/>
            </w:pPr>
          </w:p>
          <w:p w:rsidR="0014387C" w:rsidRDefault="0014387C">
            <w:pPr>
              <w:ind w:left="0" w:right="524"/>
            </w:pPr>
          </w:p>
          <w:p w:rsidR="0014387C" w:rsidRDefault="0014387C">
            <w:pPr>
              <w:ind w:left="0" w:right="524"/>
            </w:pPr>
          </w:p>
          <w:p w:rsidR="0014387C" w:rsidRDefault="0014387C">
            <w:pPr>
              <w:ind w:left="0" w:right="524"/>
            </w:pPr>
          </w:p>
          <w:p w:rsidR="0014387C" w:rsidRDefault="0014387C">
            <w:pPr>
              <w:ind w:left="0" w:right="524"/>
            </w:pPr>
          </w:p>
          <w:p w:rsidR="0014387C" w:rsidRDefault="0014387C">
            <w:pPr>
              <w:ind w:left="0" w:right="524"/>
            </w:pPr>
          </w:p>
          <w:p w:rsidR="0014387C" w:rsidRDefault="0014387C">
            <w:pPr>
              <w:ind w:left="0" w:right="524"/>
            </w:pPr>
          </w:p>
          <w:p w:rsidR="00685716" w:rsidRDefault="00685716">
            <w:pPr>
              <w:ind w:left="0" w:right="524"/>
            </w:pPr>
          </w:p>
        </w:tc>
      </w:tr>
    </w:tbl>
    <w:p w:rsidR="00685716" w:rsidRDefault="00685716">
      <w:pPr>
        <w:ind w:left="0"/>
      </w:pPr>
    </w:p>
    <w:p w:rsidR="00685716" w:rsidRDefault="00685716">
      <w:pPr>
        <w:ind w:left="0"/>
      </w:pPr>
    </w:p>
    <w:p w:rsidR="00685716" w:rsidRPr="0014387C" w:rsidRDefault="004A22AF">
      <w:pPr>
        <w:ind w:left="0"/>
        <w:rPr>
          <w:b/>
          <w:i/>
          <w:color w:val="A64D79"/>
          <w:sz w:val="32"/>
          <w:szCs w:val="32"/>
        </w:rPr>
      </w:pPr>
      <w:r>
        <w:rPr>
          <w:b/>
          <w:color w:val="A64D79"/>
          <w:sz w:val="32"/>
          <w:szCs w:val="32"/>
        </w:rPr>
        <w:lastRenderedPageBreak/>
        <w:t xml:space="preserve">CONFERENCE INFORMATION: </w:t>
      </w:r>
      <w:r w:rsidR="00FC00B5" w:rsidRPr="0014387C">
        <w:rPr>
          <w:b/>
          <w:i/>
          <w:color w:val="A64D79"/>
          <w:sz w:val="32"/>
          <w:szCs w:val="32"/>
        </w:rPr>
        <w:t>Pulling together: collaboration, synthesis, innovation.</w:t>
      </w:r>
    </w:p>
    <w:p w:rsidR="00685716" w:rsidRDefault="00685716">
      <w:pPr>
        <w:ind w:left="0"/>
      </w:pPr>
    </w:p>
    <w:p w:rsidR="00685716" w:rsidRDefault="004A22AF">
      <w:pPr>
        <w:ind w:left="0"/>
      </w:pPr>
      <w:r>
        <w:rPr>
          <w:b/>
        </w:rPr>
        <w:t>Venue</w:t>
      </w:r>
      <w:r>
        <w:rPr>
          <w:b/>
        </w:rPr>
        <w:tab/>
      </w:r>
      <w:r>
        <w:tab/>
      </w:r>
      <w:r>
        <w:tab/>
      </w:r>
      <w:r w:rsidR="00FC00B5">
        <w:t>Brighton Race Course, Brighton</w:t>
      </w:r>
    </w:p>
    <w:p w:rsidR="00685716" w:rsidRDefault="00685716">
      <w:pPr>
        <w:ind w:left="0"/>
      </w:pPr>
    </w:p>
    <w:p w:rsidR="00685716" w:rsidRDefault="004A22AF">
      <w:pPr>
        <w:ind w:left="0"/>
      </w:pPr>
      <w:r>
        <w:rPr>
          <w:b/>
        </w:rPr>
        <w:t>Date</w:t>
      </w:r>
      <w:r>
        <w:tab/>
      </w:r>
      <w:r>
        <w:tab/>
      </w:r>
      <w:r>
        <w:tab/>
        <w:t xml:space="preserve">Wednesday </w:t>
      </w:r>
      <w:r w:rsidR="00FC00B5">
        <w:t xml:space="preserve">25 </w:t>
      </w:r>
      <w:r>
        <w:t>to Friday 2</w:t>
      </w:r>
      <w:r w:rsidR="00FC00B5">
        <w:t>7</w:t>
      </w:r>
      <w:r>
        <w:t xml:space="preserve"> April 201</w:t>
      </w:r>
      <w:r w:rsidR="00FC00B5">
        <w:t>8</w:t>
      </w:r>
    </w:p>
    <w:p w:rsidR="00685716" w:rsidRDefault="00685716">
      <w:pPr>
        <w:ind w:left="0"/>
      </w:pPr>
    </w:p>
    <w:p w:rsidR="00685716" w:rsidRDefault="004A22AF">
      <w:pPr>
        <w:ind w:left="0"/>
      </w:pPr>
      <w:r>
        <w:rPr>
          <w:b/>
        </w:rPr>
        <w:t xml:space="preserve">Call for sessions </w:t>
      </w:r>
      <w:r>
        <w:rPr>
          <w:b/>
        </w:rPr>
        <w:tab/>
      </w:r>
      <w:r w:rsidR="0014387C" w:rsidRPr="0014387C">
        <w:rPr>
          <w:color w:val="00A3D6"/>
          <w:u w:val="single"/>
        </w:rPr>
        <w:t>www.archaeologists.ne</w:t>
      </w:r>
      <w:r w:rsidR="0014387C">
        <w:rPr>
          <w:color w:val="00A3D6"/>
          <w:u w:val="single"/>
        </w:rPr>
        <w:t>t/conference/2018</w:t>
      </w:r>
    </w:p>
    <w:p w:rsidR="00685716" w:rsidRDefault="00685716">
      <w:pPr>
        <w:ind w:left="0"/>
      </w:pPr>
    </w:p>
    <w:p w:rsidR="00FC00B5" w:rsidRDefault="004A22AF" w:rsidP="0014387C">
      <w:pPr>
        <w:ind w:left="2127" w:hanging="2127"/>
      </w:pPr>
      <w:r>
        <w:rPr>
          <w:b/>
        </w:rPr>
        <w:t>Theme</w:t>
      </w:r>
      <w:r>
        <w:rPr>
          <w:b/>
        </w:rPr>
        <w:tab/>
      </w:r>
      <w:r>
        <w:rPr>
          <w:i/>
        </w:rPr>
        <w:t xml:space="preserve">Pulling together: collaboration, synthesis, innovation. </w:t>
      </w:r>
      <w:r>
        <w:t xml:space="preserve">We will be looking </w:t>
      </w:r>
      <w:r w:rsidR="00FC00B5">
        <w:t>at</w:t>
      </w:r>
      <w:r>
        <w:t xml:space="preserve"> </w:t>
      </w:r>
      <w:r w:rsidR="00FC00B5">
        <w:t xml:space="preserve">aspects of our archaeological interests and how they can be used to work with others to engage and develop </w:t>
      </w:r>
      <w:r w:rsidR="0014387C" w:rsidRPr="0014387C">
        <w:rPr>
          <w:rFonts w:asciiTheme="minorHAnsi" w:hAnsiTheme="minorHAnsi" w:cs="Arial"/>
          <w:color w:val="auto"/>
        </w:rPr>
        <w:t>innovative and exciting projects that have wide reaching benefit and become ‘greater than the sum of their parts’</w:t>
      </w:r>
      <w:r w:rsidR="0014387C">
        <w:rPr>
          <w:rFonts w:ascii="Arial" w:hAnsi="Arial" w:cs="Arial"/>
          <w:color w:val="606060"/>
          <w:shd w:val="clear" w:color="auto" w:fill="FFF4F4"/>
        </w:rPr>
        <w:t>.</w:t>
      </w:r>
    </w:p>
    <w:p w:rsidR="00685716" w:rsidRDefault="00685716" w:rsidP="0014387C">
      <w:pPr>
        <w:ind w:left="2127" w:hanging="2127"/>
        <w:rPr>
          <w:b/>
        </w:rPr>
      </w:pPr>
    </w:p>
    <w:p w:rsidR="00685716" w:rsidRDefault="004A22AF" w:rsidP="0014387C">
      <w:pPr>
        <w:ind w:left="2127" w:hanging="2127"/>
      </w:pPr>
      <w:r>
        <w:rPr>
          <w:b/>
        </w:rPr>
        <w:t>Sessions</w:t>
      </w:r>
      <w:r>
        <w:rPr>
          <w:b/>
        </w:rPr>
        <w:tab/>
      </w:r>
      <w:r>
        <w:t xml:space="preserve">Not all sessions have to be linked directly to the theme – please do consider proposing a session if you have an idea but it doesn’t sit entirely within the theme. </w:t>
      </w:r>
    </w:p>
    <w:p w:rsidR="00685716" w:rsidRDefault="00685716" w:rsidP="0014387C">
      <w:pPr>
        <w:ind w:left="2127" w:hanging="2127"/>
      </w:pPr>
    </w:p>
    <w:p w:rsidR="00685716" w:rsidRDefault="004A22AF" w:rsidP="0014387C">
      <w:pPr>
        <w:ind w:left="2127" w:hanging="2127"/>
      </w:pPr>
      <w:r>
        <w:rPr>
          <w:b/>
        </w:rPr>
        <w:t>Programme</w:t>
      </w:r>
      <w:r>
        <w:tab/>
        <w:t>Sessions are normally half day sessions running from 9.30 - 13.00 or 14.00 - 17.30</w:t>
      </w:r>
    </w:p>
    <w:p w:rsidR="00685716" w:rsidRDefault="00685716" w:rsidP="0014387C">
      <w:pPr>
        <w:ind w:left="2127" w:hanging="2127"/>
      </w:pPr>
    </w:p>
    <w:p w:rsidR="00685716" w:rsidRDefault="004A22AF" w:rsidP="0014387C">
      <w:pPr>
        <w:ind w:left="2127" w:hanging="2127"/>
      </w:pPr>
      <w:r>
        <w:rPr>
          <w:b/>
        </w:rPr>
        <w:t>Submission</w:t>
      </w:r>
      <w:r>
        <w:tab/>
        <w:t xml:space="preserve">Simply complete the form and send it in to us as </w:t>
      </w:r>
      <w:hyperlink r:id="rId6" w:history="1">
        <w:r w:rsidRPr="0014387C">
          <w:rPr>
            <w:rStyle w:val="Hyperlink"/>
          </w:rPr>
          <w:t>conference@archaeologists.net</w:t>
        </w:r>
      </w:hyperlink>
      <w:r>
        <w:t xml:space="preserve"> </w:t>
      </w:r>
    </w:p>
    <w:p w:rsidR="00685716" w:rsidRDefault="00685716" w:rsidP="0014387C">
      <w:pPr>
        <w:ind w:left="2127" w:hanging="2127"/>
      </w:pPr>
    </w:p>
    <w:p w:rsidR="00685716" w:rsidRDefault="004A22AF" w:rsidP="0014387C">
      <w:pPr>
        <w:ind w:left="2127" w:hanging="2127"/>
      </w:pPr>
      <w:r>
        <w:rPr>
          <w:b/>
        </w:rPr>
        <w:t>Deadline</w:t>
      </w:r>
      <w:r>
        <w:tab/>
        <w:t xml:space="preserve">The deadline is </w:t>
      </w:r>
      <w:r w:rsidR="00FC00B5">
        <w:rPr>
          <w:b/>
        </w:rPr>
        <w:t xml:space="preserve">14 </w:t>
      </w:r>
      <w:r>
        <w:rPr>
          <w:b/>
        </w:rPr>
        <w:t>July 201</w:t>
      </w:r>
      <w:r w:rsidR="0014387C">
        <w:rPr>
          <w:b/>
        </w:rPr>
        <w:t>7</w:t>
      </w:r>
    </w:p>
    <w:p w:rsidR="00685716" w:rsidRDefault="00685716" w:rsidP="0014387C">
      <w:pPr>
        <w:ind w:left="2127" w:hanging="2127"/>
      </w:pPr>
    </w:p>
    <w:p w:rsidR="00685716" w:rsidRDefault="004A22AF" w:rsidP="0014387C">
      <w:pPr>
        <w:ind w:left="2127" w:hanging="2127"/>
      </w:pPr>
      <w:r>
        <w:rPr>
          <w:b/>
        </w:rPr>
        <w:t>Selection</w:t>
      </w:r>
      <w:r>
        <w:rPr>
          <w:b/>
        </w:rPr>
        <w:tab/>
      </w:r>
      <w:r w:rsidR="00FC00B5" w:rsidRPr="0014387C">
        <w:t xml:space="preserve">The </w:t>
      </w:r>
      <w:r w:rsidR="00FC00B5" w:rsidRPr="00FC00B5">
        <w:t>s</w:t>
      </w:r>
      <w:r w:rsidRPr="00FC00B5">
        <w:t>election</w:t>
      </w:r>
      <w:r>
        <w:t xml:space="preserve"> of sessions will take place through </w:t>
      </w:r>
      <w:r w:rsidR="00FC00B5">
        <w:t xml:space="preserve">July and </w:t>
      </w:r>
      <w:r>
        <w:t xml:space="preserve">August. Proposers will be informed of the outcome of their submission in early September. The Call for papers will be circulated in September (subject to change) with a deadline in October. We encourage all submissions to consider who would contribute to their session well in advance, and actively promote the call for papers for their sessions. </w:t>
      </w:r>
    </w:p>
    <w:p w:rsidR="00685716" w:rsidRDefault="00685716" w:rsidP="0014387C">
      <w:pPr>
        <w:ind w:left="2127" w:hanging="2127"/>
      </w:pPr>
    </w:p>
    <w:p w:rsidR="00685716" w:rsidRDefault="004A22AF" w:rsidP="0014387C">
      <w:pPr>
        <w:ind w:left="2127" w:hanging="2127"/>
      </w:pPr>
      <w:r>
        <w:rPr>
          <w:b/>
        </w:rPr>
        <w:t>Website</w:t>
      </w:r>
      <w:r>
        <w:rPr>
          <w:b/>
        </w:rPr>
        <w:tab/>
      </w:r>
      <w:r>
        <w:t>Regular updates will be posted on the conference website</w:t>
      </w:r>
      <w:r>
        <w:rPr>
          <w:b/>
        </w:rPr>
        <w:t xml:space="preserve"> </w:t>
      </w:r>
    </w:p>
    <w:p w:rsidR="00685716" w:rsidRDefault="0014387C" w:rsidP="0014387C">
      <w:pPr>
        <w:ind w:left="2127"/>
      </w:pPr>
      <w:hyperlink r:id="rId7">
        <w:r w:rsidR="004A22AF">
          <w:rPr>
            <w:b/>
            <w:color w:val="1155CC"/>
            <w:u w:val="single"/>
          </w:rPr>
          <w:t>www.archaeologists.net/conference/2018</w:t>
        </w:r>
      </w:hyperlink>
    </w:p>
    <w:p w:rsidR="00685716" w:rsidRDefault="00685716" w:rsidP="0014387C">
      <w:pPr>
        <w:ind w:left="2127" w:hanging="2127"/>
      </w:pPr>
    </w:p>
    <w:p w:rsidR="00685716" w:rsidRDefault="004A22AF" w:rsidP="0014387C">
      <w:pPr>
        <w:ind w:left="2127" w:hanging="2127"/>
      </w:pPr>
      <w:r>
        <w:rPr>
          <w:b/>
        </w:rPr>
        <w:t>Twitter</w:t>
      </w:r>
      <w:r>
        <w:rPr>
          <w:b/>
        </w:rPr>
        <w:tab/>
      </w:r>
      <w:r>
        <w:rPr>
          <w:b/>
        </w:rPr>
        <w:tab/>
      </w:r>
      <w:r>
        <w:t>#CIfA2018</w:t>
      </w:r>
    </w:p>
    <w:p w:rsidR="00685716" w:rsidRDefault="00685716" w:rsidP="0014387C">
      <w:pPr>
        <w:ind w:left="2127" w:hanging="2127"/>
      </w:pPr>
    </w:p>
    <w:p w:rsidR="00685716" w:rsidRDefault="004A22AF" w:rsidP="0014387C">
      <w:pPr>
        <w:ind w:left="2127" w:hanging="2127"/>
      </w:pPr>
      <w:r>
        <w:rPr>
          <w:b/>
        </w:rPr>
        <w:t>Questions?</w:t>
      </w:r>
      <w:r>
        <w:tab/>
        <w:t xml:space="preserve">Just email the team at </w:t>
      </w:r>
      <w:hyperlink r:id="rId8" w:history="1">
        <w:r w:rsidRPr="0014387C">
          <w:rPr>
            <w:rStyle w:val="Hyperlink"/>
          </w:rPr>
          <w:t>conference@archaeologists.net</w:t>
        </w:r>
      </w:hyperlink>
      <w:r>
        <w:t xml:space="preserve"> </w:t>
      </w:r>
    </w:p>
    <w:p w:rsidR="00685716" w:rsidRDefault="00685716">
      <w:pPr>
        <w:pStyle w:val="Heading2"/>
        <w:ind w:left="-720"/>
        <w:jc w:val="left"/>
      </w:pPr>
    </w:p>
    <w:sectPr w:rsidR="00685716">
      <w:footerReference w:type="default" r:id="rId9"/>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BA" w:rsidRDefault="00A067BA">
      <w:r>
        <w:separator/>
      </w:r>
    </w:p>
  </w:endnote>
  <w:endnote w:type="continuationSeparator" w:id="0">
    <w:p w:rsidR="00A067BA" w:rsidRDefault="00A0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16" w:rsidRDefault="004A22AF">
    <w:pPr>
      <w:tabs>
        <w:tab w:val="center" w:pos="4513"/>
        <w:tab w:val="right" w:pos="9026"/>
      </w:tabs>
      <w:spacing w:after="549"/>
      <w:ind w:left="0"/>
    </w:pPr>
    <w:r>
      <w:rPr>
        <w:b/>
      </w:rPr>
      <w:t xml:space="preserve">ONCE COMPLETED, PLEASE EMAIL THIS FORM TO </w:t>
    </w:r>
    <w:hyperlink r:id="rId1">
      <w:r>
        <w:rPr>
          <w:b/>
          <w:color w:val="00A3D6"/>
          <w:u w:val="single"/>
        </w:rPr>
        <w:t>conference@archaeologists.net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BA" w:rsidRDefault="00A067BA">
      <w:r>
        <w:separator/>
      </w:r>
    </w:p>
  </w:footnote>
  <w:footnote w:type="continuationSeparator" w:id="0">
    <w:p w:rsidR="00A067BA" w:rsidRDefault="00A0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5716"/>
    <w:rsid w:val="0014387C"/>
    <w:rsid w:val="004A22AF"/>
    <w:rsid w:val="00685716"/>
    <w:rsid w:val="00685B8E"/>
    <w:rsid w:val="009B1134"/>
    <w:rsid w:val="00A067BA"/>
    <w:rsid w:val="00FC0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7C93"/>
  <w15:docId w15:val="{2E0B806A-FE85-470F-9B5F-F43E98C6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ind w:left="7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120"/>
      <w:outlineLvl w:val="0"/>
    </w:pPr>
    <w:rPr>
      <w:color w:val="548DD4"/>
      <w:sz w:val="28"/>
      <w:szCs w:val="28"/>
    </w:rPr>
  </w:style>
  <w:style w:type="paragraph" w:styleId="Heading2">
    <w:name w:val="heading 2"/>
    <w:basedOn w:val="Normal"/>
    <w:next w:val="Normal"/>
    <w:pPr>
      <w:keepNext/>
      <w:keepLines/>
      <w:outlineLvl w:val="1"/>
    </w:pPr>
    <w:rPr>
      <w:b/>
      <w:color w:val="0070C0"/>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43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7C"/>
    <w:rPr>
      <w:rFonts w:ascii="Segoe UI" w:hAnsi="Segoe UI" w:cs="Segoe UI"/>
      <w:sz w:val="18"/>
      <w:szCs w:val="18"/>
    </w:rPr>
  </w:style>
  <w:style w:type="character" w:styleId="Hyperlink">
    <w:name w:val="Hyperlink"/>
    <w:basedOn w:val="DefaultParagraphFont"/>
    <w:uiPriority w:val="99"/>
    <w:unhideWhenUsed/>
    <w:rsid w:val="00143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Alex%20Llewellyn\AppData\Local\Microsoft\Windows\Temporary%20Internet%20Files\Content.Outlook\16CU8I87\conference@archaeologists.net" TargetMode="External"/><Relationship Id="rId3" Type="http://schemas.openxmlformats.org/officeDocument/2006/relationships/webSettings" Target="webSettings.xml"/><Relationship Id="rId7" Type="http://schemas.openxmlformats.org/officeDocument/2006/relationships/hyperlink" Target="http://www.archaeologists.net/conference/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lex%20Llewellyn\AppData\Local\Microsoft\Windows\Temporary%20Internet%20Files\Content.Outlook\16CU8I87\conference@archaeologist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ference@archaeolog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Llewellyn</dc:creator>
  <cp:lastModifiedBy>Alex Llewellyn</cp:lastModifiedBy>
  <cp:revision>2</cp:revision>
  <dcterms:created xsi:type="dcterms:W3CDTF">2017-05-19T12:43:00Z</dcterms:created>
  <dcterms:modified xsi:type="dcterms:W3CDTF">2017-05-19T12:43:00Z</dcterms:modified>
</cp:coreProperties>
</file>